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B9" w:rsidRPr="002A0243" w:rsidRDefault="002A0243" w:rsidP="002A0243">
      <w:pPr>
        <w:jc w:val="right"/>
        <w:rPr>
          <w:rFonts w:ascii="Times New Roman" w:hAnsi="Times New Roman"/>
        </w:rPr>
      </w:pPr>
      <w:r w:rsidRPr="002A0243">
        <w:rPr>
          <w:rFonts w:ascii="Times New Roman" w:hAnsi="Times New Roman"/>
        </w:rPr>
        <w:t>Załącznik nr 7 do Regulaminu Rady z dnia</w:t>
      </w:r>
      <w:r w:rsidR="0033264F">
        <w:rPr>
          <w:rFonts w:ascii="Times New Roman" w:hAnsi="Times New Roman"/>
        </w:rPr>
        <w:t xml:space="preserve"> 07 maja 2018 r.</w:t>
      </w:r>
    </w:p>
    <w:p w:rsidR="007945A3" w:rsidRPr="007945A3" w:rsidRDefault="002A0243" w:rsidP="007945A3">
      <w:pPr>
        <w:jc w:val="center"/>
        <w:rPr>
          <w:rFonts w:ascii="Times New Roman" w:hAnsi="Times New Roman"/>
          <w:b/>
          <w:sz w:val="40"/>
          <w:szCs w:val="40"/>
        </w:rPr>
      </w:pPr>
      <w:r w:rsidRPr="002A0243">
        <w:rPr>
          <w:rFonts w:ascii="Times New Roman" w:hAnsi="Times New Roman"/>
          <w:b/>
          <w:sz w:val="40"/>
          <w:szCs w:val="40"/>
        </w:rPr>
        <w:t>Lokalne kryteria oceny operacji</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992"/>
        <w:gridCol w:w="10915"/>
      </w:tblGrid>
      <w:tr w:rsidR="007945A3" w:rsidRPr="00A70A1C" w:rsidTr="00697BB7">
        <w:trPr>
          <w:trHeight w:val="31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0000"/>
              </w:rPr>
            </w:pPr>
            <w:r w:rsidRPr="00A70A1C">
              <w:rPr>
                <w:rFonts w:ascii="Times New Roman" w:eastAsia="ヒラギノ角ゴ Pro W3" w:hAnsi="Times New Roman"/>
                <w:b/>
                <w:color w:val="0070C0"/>
              </w:rPr>
              <w:t>PRZEDSIĘWZIĘCIE I.1.1. PODEJMOWANIE DZIAŁALNOŚCI GOSPODARCZEJ</w:t>
            </w:r>
          </w:p>
          <w:p w:rsidR="007945A3" w:rsidRPr="00A70A1C" w:rsidRDefault="007945A3" w:rsidP="00697BB7">
            <w:pPr>
              <w:rPr>
                <w:rFonts w:ascii="Times New Roman" w:eastAsia="ヒラギノ角ゴ Pro W3" w:hAnsi="Times New Roman"/>
                <w:color w:val="000000"/>
              </w:rPr>
            </w:pPr>
          </w:p>
        </w:tc>
      </w:tr>
      <w:tr w:rsidR="007945A3" w:rsidRPr="00A70A1C" w:rsidTr="00697BB7">
        <w:trPr>
          <w:trHeight w:val="310"/>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992"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0915"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Uszczegółowienie</w:t>
            </w:r>
          </w:p>
        </w:tc>
      </w:tr>
      <w:tr w:rsidR="007945A3" w:rsidRPr="00A70A1C" w:rsidTr="00697BB7">
        <w:trPr>
          <w:trHeight w:val="1039"/>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jest osobą bezrobotną zarejestrowaną w Powiatowym Urzędzie Pracy</w:t>
            </w:r>
          </w:p>
        </w:tc>
        <w:tc>
          <w:tcPr>
            <w:tcW w:w="992"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 dniu złożenia wniosku posiada status osoby bezrobotnej, który należy udokumentować za pomocą zaświadczenia z Powiatowego Urzędu Pracy (wystawionego nie wcześniej niż miesiąc przed dniem złożenia wniosku).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strike/>
                <w:color w:val="FF0000"/>
              </w:rPr>
            </w:pPr>
            <w:r w:rsidRPr="00A70A1C">
              <w:rPr>
                <w:rFonts w:ascii="Times New Roman" w:eastAsia="ヒラギノ角ゴ Pro W3" w:hAnsi="Times New Roman"/>
                <w:color w:val="000000"/>
              </w:rPr>
              <w:t>Na ocenę nie wpływają inne czynniki (np. okres posiadania statusu, fakt rejestracji w PUP spoza obszaru objętego działaniami w ramach Lokalnej Strategii Rozwoju).</w:t>
            </w:r>
          </w:p>
        </w:tc>
      </w:tr>
      <w:tr w:rsidR="007945A3" w:rsidRPr="00A70A1C" w:rsidTr="00697BB7">
        <w:trPr>
          <w:trHeight w:val="2414"/>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należy do jednej z poniższych grup i jest: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osobą do 35 roku życia (w dniu złożenia wniosku),</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osobą powyżej 50 roku życia (w dniu złożenia wniosku),</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 xml:space="preserve">3. kobietą, </w:t>
            </w:r>
          </w:p>
          <w:p w:rsidR="007945A3" w:rsidRPr="00A70A1C" w:rsidRDefault="007945A3" w:rsidP="00697BB7">
            <w:pPr>
              <w:rPr>
                <w:rFonts w:ascii="Times New Roman" w:eastAsia="ヒラギノ角ゴ Pro W3" w:hAnsi="Times New Roman"/>
              </w:rPr>
            </w:pPr>
          </w:p>
        </w:tc>
        <w:tc>
          <w:tcPr>
            <w:tcW w:w="992"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10</w:t>
            </w:r>
          </w:p>
        </w:tc>
        <w:tc>
          <w:tcPr>
            <w:tcW w:w="10915"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minimum 50 lat). Weryfikacja kryteriów 1, 2, 3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Przynależność do więcej niż jednej grup nie wpływa na liczbę punktów w ramach kryterium (np. 25-letnia kobieta czy 64-letnia osoba niepełnosprawna otrzymają po 10 punktów).</w:t>
            </w:r>
          </w:p>
        </w:tc>
      </w:tr>
      <w:tr w:rsidR="007945A3" w:rsidRPr="00A70A1C" w:rsidTr="00697BB7">
        <w:trPr>
          <w:trHeight w:val="417"/>
        </w:trPr>
        <w:tc>
          <w:tcPr>
            <w:tcW w:w="534"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3.</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0,5 do 1 etatu: 5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1,5 do 2 etatów: 10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 powyżej wymagane minimum - w wymiarze 3 etatów i więcej: 15 pkt</w:t>
            </w:r>
          </w:p>
          <w:p w:rsidR="007945A3" w:rsidRPr="00A70A1C" w:rsidRDefault="007945A3" w:rsidP="00697BB7">
            <w:pPr>
              <w:rPr>
                <w:rFonts w:ascii="Times New Roman" w:eastAsia="ヒラギノ角ゴ Pro W3" w:hAnsi="Times New Roman"/>
                <w:color w:val="000000"/>
              </w:rPr>
            </w:pP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15 </w:t>
            </w:r>
            <w:r w:rsidRPr="00A70A1C">
              <w:rPr>
                <w:rFonts w:ascii="Times New Roman" w:eastAsia="ヒラギノ角ゴ Pro W3" w:hAnsi="Times New Roman"/>
                <w:color w:val="000000"/>
              </w:rPr>
              <w:br/>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2. w przypadku zawarcia we wniosku informacji o utworzeniu stanowisk pracy w łącznym wymiarze minimum 2,5 etatów (1 etat jako wymagane minimum +1,5 etatu) do 3 etatów (1 etat + 2 etaty dodatkowe);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3. . w przypadku zawarcia we wniosku informacji o utworzeniu stanowisk pracy w łącznym wymiarze minimum 4 etatów (1 etat jako wymagane minimum +3 etaty dodatkowe).</w:t>
            </w: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w:t>
            </w:r>
            <w:r w:rsidRPr="00A70A1C">
              <w:rPr>
                <w:rFonts w:ascii="Times New Roman" w:eastAsia="ヒラギノ角ゴ Pro W3" w:hAnsi="Times New Roman"/>
                <w:color w:val="000000"/>
              </w:rPr>
              <w:lastRenderedPageBreak/>
              <w:t>10 punktów.</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697BB7">
        <w:trPr>
          <w:trHeight w:val="2543"/>
        </w:trPr>
        <w:tc>
          <w:tcPr>
            <w:tcW w:w="534" w:type="dxa"/>
          </w:tcPr>
          <w:p w:rsidR="007945A3" w:rsidRPr="00A70A1C" w:rsidRDefault="007945A3" w:rsidP="00697BB7">
            <w:pPr>
              <w:rPr>
                <w:rFonts w:ascii="Times New Roman" w:eastAsia="ヒラギノ角ゴ Pro W3" w:hAnsi="Times New Roman"/>
                <w:color w:val="0070C0"/>
              </w:rPr>
            </w:pPr>
            <w:r w:rsidRPr="00A70A1C">
              <w:rPr>
                <w:rFonts w:ascii="Times New Roman" w:eastAsia="ヒラギノ角ゴ Pro W3" w:hAnsi="Times New Roman"/>
              </w:rPr>
              <w:lastRenderedPageBreak/>
              <w:t>4</w:t>
            </w:r>
            <w:r w:rsidRPr="00A70A1C">
              <w:rPr>
                <w:rFonts w:ascii="Times New Roman" w:eastAsia="ヒラギノ角ゴ Pro W3" w:hAnsi="Times New Roman"/>
                <w:color w:val="0070C0"/>
              </w:rPr>
              <w:t>.</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rPr>
              <w:t>3. w doradztwie indywidualnym i w szkoleniach: 30 pkt.</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30 </w:t>
            </w:r>
            <w:r w:rsidRPr="00A70A1C">
              <w:rPr>
                <w:rFonts w:ascii="Times New Roman" w:eastAsia="ヒラギノ角ゴ Pro W3" w:hAnsi="Times New Roman"/>
                <w:color w:val="000000"/>
              </w:rPr>
              <w:br/>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3103"/>
        </w:trPr>
        <w:tc>
          <w:tcPr>
            <w:tcW w:w="534" w:type="dxa"/>
          </w:tcPr>
          <w:p w:rsidR="007945A3" w:rsidRPr="00A70A1C" w:rsidRDefault="007945A3" w:rsidP="00697BB7">
            <w:pPr>
              <w:rPr>
                <w:rFonts w:ascii="Times New Roman" w:eastAsia="ヒラギノ角ゴ Pro W3" w:hAnsi="Times New Roman"/>
                <w:color w:val="0070C0"/>
              </w:rPr>
            </w:pPr>
            <w:r w:rsidRPr="00A70A1C">
              <w:rPr>
                <w:rFonts w:ascii="Times New Roman" w:eastAsia="ヒラギノ角ゴ Pro W3" w:hAnsi="Times New Roman"/>
              </w:rPr>
              <w:lastRenderedPageBreak/>
              <w:t>5</w:t>
            </w:r>
            <w:r w:rsidRPr="00A70A1C">
              <w:rPr>
                <w:rFonts w:ascii="Times New Roman" w:eastAsia="ヒラギノ角ゴ Pro W3" w:hAnsi="Times New Roman"/>
                <w:color w:val="0070C0"/>
              </w:rPr>
              <w:t>.</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Projekt zakłada utworzenie firmy w co najmniej jednej z poniższych kategorii:</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świadczącej usługi noclegowe,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świadczącej usługi gastronomiczne,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prowadzącej działalność turystyczną, kulturalną,</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4. prowadzącej usługi z zakresu działalności rehabilitacyjnej,</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5. rękodzieła.</w:t>
            </w:r>
          </w:p>
          <w:p w:rsidR="007945A3" w:rsidRPr="00A70A1C" w:rsidRDefault="007945A3" w:rsidP="00697BB7">
            <w:pPr>
              <w:rPr>
                <w:rFonts w:ascii="Times New Roman" w:eastAsia="ヒラギノ角ゴ Pro W3" w:hAnsi="Times New Roman"/>
              </w:rPr>
            </w:pP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wnioskodawcy</w:t>
            </w:r>
            <w:r w:rsidRPr="00A70A1C">
              <w:rPr>
                <w:rFonts w:ascii="Times New Roman" w:eastAsia="ヒラギノ角ゴ Pro W3" w:hAnsi="Times New Roman"/>
                <w:color w:val="000000"/>
              </w:rPr>
              <w:t xml:space="preserve"> (punktów nie uzyska wnioskodawca, który np. planuje otworzyć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uruchomić obiekt noclegowy z restauracją i sklepem z pamiątkami rękodzielniczymi uzyska 10 punktów).</w:t>
            </w:r>
          </w:p>
        </w:tc>
      </w:tr>
      <w:tr w:rsidR="007945A3" w:rsidRPr="00A70A1C" w:rsidTr="00697BB7">
        <w:trPr>
          <w:trHeight w:val="1718"/>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6.</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p w:rsidR="007945A3" w:rsidRPr="00A70A1C" w:rsidRDefault="007945A3" w:rsidP="00697BB7">
            <w:pPr>
              <w:jc w:val="center"/>
              <w:rPr>
                <w:rFonts w:ascii="Times New Roman" w:eastAsia="ヒラギノ角ゴ Pro W3" w:hAnsi="Times New Roman"/>
                <w:color w:val="000000"/>
              </w:rPr>
            </w:pP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842"/>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dniu składania wniosku Wnioskodawca jest zameldowany nieprzerwanie na pobyt stały lub czasowy na terenie LSR od co najmniej 24 miesięcy.</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rPr>
              <w:t>10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r>
      <w:tr w:rsidR="007945A3" w:rsidRPr="00A70A1C" w:rsidTr="00697BB7">
        <w:trPr>
          <w:trHeight w:val="197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uwzględnił i opisał działania w ramach projektu dotyczące wykorzystania metod i/lub narzędzi z zakresu ochrony środowiska, przeciwdziałania zmianom klimatu</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697BB7">
        <w:trPr>
          <w:trHeight w:val="126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w ramach projektu zakłada działalność gospodarczą opartą na lokalnych produktach rolnych.</w:t>
            </w:r>
          </w:p>
        </w:tc>
        <w:tc>
          <w:tcPr>
            <w:tcW w:w="992"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992"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0915"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697BB7">
        <w:trPr>
          <w:trHeight w:val="42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I.1.2. ROZWÓJ PRZYJAZNYCH ŚRODOWISKU PRZEDSIĘBIORSTW</w:t>
            </w:r>
          </w:p>
        </w:tc>
      </w:tr>
      <w:tr w:rsidR="007945A3" w:rsidRPr="00A70A1C" w:rsidTr="00697BB7">
        <w:trPr>
          <w:trHeight w:val="294"/>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przewiduje oddziaływanie operacji na grupę defaworyzowaną ze względu na dostęp do rynku pracy i przedstawił uzasadnienie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pozytywne oddziaływanie na 1 zidentyfikowaną w LSR grupę defaworyzowaną: 4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pozytywne oddziaływanie na więcej niż 1 zidentyfikowaną w LSR grupę defaworyzowaną: 8 pkt</w:t>
            </w:r>
          </w:p>
        </w:tc>
        <w:tc>
          <w:tcPr>
            <w:tcW w:w="851" w:type="dxa"/>
          </w:tcPr>
          <w:p w:rsidR="007945A3" w:rsidRPr="00A70A1C" w:rsidRDefault="007945A3" w:rsidP="00697BB7">
            <w:pPr>
              <w:jc w:val="center"/>
              <w:rPr>
                <w:rFonts w:ascii="Times New Roman" w:eastAsia="ヒラギノ角ゴ Pro W3" w:hAnsi="Times New Roman"/>
                <w:color w:val="FF0000"/>
              </w:rPr>
            </w:pPr>
            <w:r w:rsidRPr="00A70A1C">
              <w:rPr>
                <w:rFonts w:ascii="Times New Roman" w:eastAsia="ヒラギノ角ゴ Pro W3" w:hAnsi="Times New Roman"/>
              </w:rPr>
              <w:t>max 8</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4 lub 8 punktów).</w:t>
            </w:r>
          </w:p>
        </w:tc>
      </w:tr>
      <w:tr w:rsidR="007945A3" w:rsidRPr="00A70A1C" w:rsidTr="00697BB7">
        <w:trPr>
          <w:trHeight w:val="1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0,5-1 etatu: 3pkt</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1,5-2 etatów: 7pkt </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rPr>
              <w:lastRenderedPageBreak/>
              <w:t>max 7</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obowiązkowe. 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w pkt. 2. w przypadku zawarcia we wniosku informacji o utworzeniu stanowisk pracy w łącznym wymiarze minimum 2,5 etatów (1 etat jako wymagane minimum +1,5 etatu) do 3 etatów (1 etat + 2 etaty dodatkowe);</w:t>
            </w: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3 lub 7 pkt).</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697BB7">
        <w:trPr>
          <w:trHeight w:val="41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 o:</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 pow. 5 do 10 punktów </w:t>
            </w:r>
            <w:r w:rsidRPr="00A70A1C">
              <w:rPr>
                <w:rFonts w:ascii="Times New Roman" w:eastAsia="ヒラギノ角ゴ Pro W3" w:hAnsi="Times New Roman"/>
                <w:color w:val="000000"/>
              </w:rPr>
              <w:lastRenderedPageBreak/>
              <w:t>procentowych: 3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pow. 10 punktów procentowych: 7 pkt</w:t>
            </w:r>
          </w:p>
        </w:tc>
        <w:tc>
          <w:tcPr>
            <w:tcW w:w="851" w:type="dxa"/>
          </w:tcPr>
          <w:p w:rsidR="007945A3" w:rsidRPr="00A70A1C" w:rsidRDefault="007945A3" w:rsidP="00697BB7">
            <w:pPr>
              <w:jc w:val="center"/>
              <w:rPr>
                <w:rFonts w:ascii="Times New Roman" w:eastAsia="ヒラギノ角ゴ Pro W3" w:hAnsi="Times New Roman"/>
                <w:color w:val="00B050"/>
              </w:rPr>
            </w:pPr>
            <w:r w:rsidRPr="00A70A1C">
              <w:rPr>
                <w:rFonts w:ascii="Times New Roman" w:eastAsia="ヒラギノ角ゴ Pro W3" w:hAnsi="Times New Roman"/>
              </w:rPr>
              <w:lastRenderedPageBreak/>
              <w:t xml:space="preserve">max 7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Kryterium zostanie uznane za spełnione:</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2. w sytuacji, jeśli Wnioskodawca zadeklaruje wkład własny na poziomie powyżej 40% kosztów kwalifikowalnych operacji.</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color w:val="FF0000"/>
              </w:rPr>
            </w:pPr>
            <w:r w:rsidRPr="00A70A1C">
              <w:rPr>
                <w:rFonts w:ascii="Times New Roman" w:eastAsia="ヒラギノ角ゴ Pro W3" w:hAnsi="Times New Roman"/>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7945A3" w:rsidRPr="00A70A1C" w:rsidTr="00697BB7">
        <w:trPr>
          <w:trHeight w:val="559"/>
        </w:trPr>
        <w:tc>
          <w:tcPr>
            <w:tcW w:w="534" w:type="dxa"/>
          </w:tcPr>
          <w:p w:rsidR="007945A3" w:rsidRPr="00A70A1C" w:rsidRDefault="007945A3" w:rsidP="00697BB7">
            <w:pPr>
              <w:rPr>
                <w:rFonts w:ascii="Times New Roman" w:eastAsia="ヒラギノ角ゴ Pro W3" w:hAnsi="Times New Roman"/>
                <w:color w:val="00B050"/>
              </w:rPr>
            </w:pPr>
            <w:r w:rsidRPr="00A70A1C">
              <w:rPr>
                <w:rFonts w:ascii="Times New Roman" w:eastAsia="ヒラギノ角ゴ Pro W3" w:hAnsi="Times New Roman"/>
              </w:rPr>
              <w:lastRenderedPageBreak/>
              <w:t>4.</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2. w szkoleniach </w:t>
            </w:r>
            <w:r w:rsidRPr="00A70A1C">
              <w:rPr>
                <w:rFonts w:ascii="Times New Roman" w:eastAsia="ヒラギノ角ゴ Pro W3" w:hAnsi="Times New Roman"/>
              </w:rPr>
              <w:lastRenderedPageBreak/>
              <w:t>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 xml:space="preserve">max 30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97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rozwój firmy w jednej z poniższych kategorii: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świadczącej usługi noclegowe,</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świadczącej usługi gastronomiczne,</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3. prowadzącej usługi z zakresu działalności rehabilitacyjnej,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4. prowadzącej działalność kulturalną, turystyczną.</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objętą wnioskiem</w:t>
            </w:r>
            <w:r w:rsidRPr="00A70A1C">
              <w:rPr>
                <w:rFonts w:ascii="Times New Roman" w:eastAsia="ヒラギノ角ゴ Pro W3" w:hAnsi="Times New Roman"/>
                <w:color w:val="000000"/>
              </w:rPr>
              <w:t xml:space="preserve"> (punktów nie uzyska wnioskodawca, który np. planuje otworzyć drugi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rozwój firmy przez wybudowanie restauracji i gabinetu kosmetyczno-rehabilitacyjnego przy istniejącym obiekcie noclegowym uzyska 10 punktów).</w:t>
            </w:r>
          </w:p>
        </w:tc>
      </w:tr>
      <w:tr w:rsidR="007945A3" w:rsidRPr="00A70A1C" w:rsidTr="00697BB7">
        <w:trPr>
          <w:trHeight w:val="16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color w:val="000000"/>
              </w:rPr>
            </w:pP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1692"/>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posiada siedzibę na obszarze LGD lub dodatkowe miejsce prowadzenia działalności gospodarczej zgłoszone co najmniej </w:t>
            </w:r>
            <w:r w:rsidRPr="00A70A1C">
              <w:rPr>
                <w:rFonts w:ascii="Times New Roman" w:eastAsia="ヒラギノ角ゴ Pro W3" w:hAnsi="Times New Roman"/>
              </w:rPr>
              <w:t xml:space="preserve">12 miesięcy </w:t>
            </w:r>
            <w:r w:rsidRPr="00A70A1C">
              <w:rPr>
                <w:rFonts w:ascii="Times New Roman" w:eastAsia="ヒラギノ角ゴ Pro W3" w:hAnsi="Times New Roman"/>
                <w:color w:val="000000"/>
              </w:rPr>
              <w:t xml:space="preserve">przed dniem złożenia wniosku. </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nie zalegał z opłaceniem kosztów prowadzenia działalności </w:t>
            </w:r>
            <w:r w:rsidRPr="00A70A1C">
              <w:rPr>
                <w:rFonts w:ascii="Times New Roman" w:eastAsia="ヒラギノ角ゴ Pro W3" w:hAnsi="Times New Roman"/>
                <w:color w:val="000000"/>
              </w:rPr>
              <w:lastRenderedPageBreak/>
              <w:t xml:space="preserve">gospodarczej oraz opłatami lokalnymi w ciągu </w:t>
            </w:r>
            <w:r>
              <w:rPr>
                <w:rFonts w:ascii="Times New Roman" w:eastAsia="ヒラギノ角ゴ Pro W3" w:hAnsi="Times New Roman"/>
              </w:rPr>
              <w:t xml:space="preserve">1 </w:t>
            </w:r>
            <w:r w:rsidRPr="00A70A1C">
              <w:rPr>
                <w:rFonts w:ascii="Times New Roman" w:eastAsia="ヒラギノ角ゴ Pro W3" w:hAnsi="Times New Roman"/>
              </w:rPr>
              <w:t>miesi</w:t>
            </w:r>
            <w:r>
              <w:rPr>
                <w:rFonts w:ascii="Times New Roman" w:eastAsia="ヒラギノ角ゴ Pro W3" w:hAnsi="Times New Roman"/>
              </w:rPr>
              <w:t>ąca</w:t>
            </w:r>
            <w:r w:rsidRPr="00A70A1C">
              <w:rPr>
                <w:rFonts w:ascii="Times New Roman" w:eastAsia="ヒラギノ角ゴ Pro W3" w:hAnsi="Times New Roman"/>
              </w:rPr>
              <w:t xml:space="preserve"> </w:t>
            </w:r>
            <w:r w:rsidRPr="00A70A1C">
              <w:rPr>
                <w:rFonts w:ascii="Times New Roman" w:eastAsia="ヒラギノ角ゴ Pro W3" w:hAnsi="Times New Roman"/>
                <w:color w:val="000000"/>
              </w:rPr>
              <w:t>przed dniem złożenia wniosku. Wnioskodawca przedstawił:</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zaświadczenie z właściwego Urzędu Skarbowego: 4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zaświadczenie z właściwego oddziału Zakładu Ubezpieczeń Społecznych: 4 pkt,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 zaświadczenie z właściwego Urzędu Miasta/Urzędu Gminy: 4 pkt.</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p w:rsidR="007945A3" w:rsidRPr="00A70A1C" w:rsidRDefault="007945A3" w:rsidP="00697BB7">
            <w:pPr>
              <w:jc w:val="center"/>
              <w:rPr>
                <w:rFonts w:ascii="Times New Roman" w:eastAsia="ヒラギノ角ゴ Pro W3" w:hAnsi="Times New Roman"/>
                <w:color w:val="000000"/>
              </w:rPr>
            </w:pPr>
          </w:p>
        </w:tc>
        <w:tc>
          <w:tcPr>
            <w:tcW w:w="11056"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A70A1C">
              <w:rPr>
                <w:rFonts w:ascii="Times New Roman" w:eastAsia="ヒラギノ角ゴ Pro W3" w:hAnsi="Times New Roman"/>
              </w:rPr>
              <w:t xml:space="preserve">Miasta/Gminy. </w:t>
            </w:r>
            <w:r w:rsidRPr="00A70A1C">
              <w:rPr>
                <w:rFonts w:ascii="Times New Roman" w:eastAsia="ヒラギノ角ゴ Pro W3" w:hAnsi="Times New Roman"/>
                <w:color w:val="000000"/>
              </w:rPr>
              <w:t xml:space="preserve">Za przedłożone </w:t>
            </w:r>
            <w:r w:rsidRPr="00A70A1C">
              <w:rPr>
                <w:rFonts w:ascii="Times New Roman" w:eastAsia="ヒラギノ角ゴ Pro W3" w:hAnsi="Times New Roman"/>
                <w:color w:val="000000"/>
              </w:rPr>
              <w:lastRenderedPageBreak/>
              <w:t>zaświadczenie Wnioskodawca otrzymuje 4 pkt. W przypadku wskazania przez Wnioskodawcę spełnienia kryterium, jednak niezałączenia stosownych dokumentów do wniosku o dofinansowanie, punkty w ramach kryterium nie zostaną przyznane.</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Punkty w ramach kryterium sumują się: do zdobycia 0, 4, 8 lub 12 pkt.</w:t>
            </w:r>
          </w:p>
          <w:p w:rsidR="007945A3" w:rsidRPr="00A70A1C" w:rsidRDefault="007945A3" w:rsidP="00697BB7">
            <w:pPr>
              <w:rPr>
                <w:rFonts w:ascii="Times New Roman" w:eastAsia="ヒラギノ角ゴ Pro W3" w:hAnsi="Times New Roman"/>
                <w:color w:val="000000"/>
              </w:rPr>
            </w:pPr>
          </w:p>
        </w:tc>
      </w:tr>
      <w:tr w:rsidR="007945A3" w:rsidRPr="00A70A1C" w:rsidTr="00697BB7">
        <w:trPr>
          <w:trHeight w:val="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uwzględnił i opisał działania w ramach projektu dotyczące wykorzystania metod i/lub narzędzi z zakresu ochrony środowiska, przeciwdziałania zmianom klimatu</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6</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Punktów nie uzyska operacja, w której nie przedstawiono listy konkretnych działań, narzędzi, metod (np. uzasadnienie </w:t>
            </w:r>
            <w:r w:rsidRPr="00A70A1C">
              <w:rPr>
                <w:rFonts w:ascii="Times New Roman" w:eastAsia="ヒラギノ角ゴ Pro W3" w:hAnsi="Times New Roman"/>
                <w:color w:val="000000"/>
              </w:rPr>
              <w:lastRenderedPageBreak/>
              <w:t>wnioskodawcy sprowadzi się do stwierdzenia, że planuje uwzględnić metody i/lub narzędzia z zakresu ochrony środowiska, przeciwdziałania zmianom klimatu).</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RAZEM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697BB7">
        <w:trPr>
          <w:trHeight w:val="42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I.1.3. TWORZENIE INKUBATORA PRZETWÓRSTWA LOKALNEGO</w:t>
            </w:r>
          </w:p>
        </w:tc>
      </w:tr>
      <w:tr w:rsidR="007945A3" w:rsidRPr="00A70A1C" w:rsidTr="00697BB7">
        <w:trPr>
          <w:trHeight w:val="294"/>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przewiduje oddziaływanie operacji na grupę defaworyzowaną ze względu na dostęp do rynku pracy i przedstawił uzasadnienie</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pozytywne oddziaływanie na 1 zidentyfikowaną w LSR grupę defaworyzowaną: 4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2. pozytywne oddziaływanie na więcej niż 1 zidentyfikowaną w LSR grupę defaworyzowaną: 8 pkt</w:t>
            </w:r>
          </w:p>
        </w:tc>
        <w:tc>
          <w:tcPr>
            <w:tcW w:w="851" w:type="dxa"/>
          </w:tcPr>
          <w:p w:rsidR="007945A3" w:rsidRPr="00A70A1C" w:rsidRDefault="007945A3" w:rsidP="00697BB7">
            <w:pPr>
              <w:jc w:val="center"/>
              <w:rPr>
                <w:rFonts w:ascii="Times New Roman" w:eastAsia="ヒラギノ角ゴ Pro W3" w:hAnsi="Times New Roman"/>
                <w:color w:val="FF0000"/>
              </w:rPr>
            </w:pPr>
            <w:r w:rsidRPr="00A70A1C">
              <w:rPr>
                <w:rFonts w:ascii="Times New Roman" w:eastAsia="ヒラギノ角ゴ Pro W3" w:hAnsi="Times New Roman"/>
              </w:rPr>
              <w:lastRenderedPageBreak/>
              <w:t>max 8</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Weryfikacja odbędzie się w oparciu o informacje zawarte we wniosku oraz dokumenty przedstawione przez Wnioskodawcę (fakultatywnie, maksymalnie 3 kserokopie zaświadczeń, certyfikatów lub innych oficjalnych dokumentów </w:t>
            </w:r>
            <w:r w:rsidRPr="00A70A1C">
              <w:rPr>
                <w:rFonts w:ascii="Times New Roman" w:eastAsia="ヒラギノ角ゴ Pro W3" w:hAnsi="Times New Roman"/>
                <w:color w:val="000000"/>
              </w:rPr>
              <w:lastRenderedPageBreak/>
              <w:t>wydanych przez upoważnione podmioty, niezbędnych do uzasadnienia spełnienia kryterium).</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4 lub 8 punktów).</w:t>
            </w:r>
          </w:p>
        </w:tc>
      </w:tr>
      <w:tr w:rsidR="007945A3" w:rsidRPr="00A70A1C" w:rsidTr="00697BB7">
        <w:trPr>
          <w:trHeight w:val="1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2.</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0,5-1 etatu: 3pkt</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1,5-2 etatów: 7pkt </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rPr>
              <w:t>max 7</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obowiązkowe. 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2. w przypadku zawarcia we wniosku informacji o utworzeniu stanowisk pracy w łącznym wymiarze minimum 2,5 etatów (1 etat jako wymagane minimum +1,5 etatu) do 3 etatów (1 etat + 2 etaty dodatkowe);</w:t>
            </w: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3 lub 7 pkt).</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Przykład 2: we wniosku zawarto informację, że w wyniku realizacji projektu zostaną utworzone 4 miejsca pracy, każde </w:t>
            </w:r>
            <w:r w:rsidRPr="00A70A1C">
              <w:rPr>
                <w:rFonts w:ascii="Times New Roman" w:eastAsia="ヒラギノ角ゴ Pro W3" w:hAnsi="Times New Roman"/>
                <w:color w:val="000000"/>
              </w:rPr>
              <w:lastRenderedPageBreak/>
              <w:t>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697BB7">
        <w:trPr>
          <w:trHeight w:val="41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 o:</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pow. 5 do 10 punktów procentowych: 3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pow. 10 punktów procentowych: 7 pkt</w:t>
            </w:r>
          </w:p>
        </w:tc>
        <w:tc>
          <w:tcPr>
            <w:tcW w:w="851" w:type="dxa"/>
          </w:tcPr>
          <w:p w:rsidR="007945A3" w:rsidRPr="00A70A1C" w:rsidRDefault="007945A3" w:rsidP="00697BB7">
            <w:pPr>
              <w:jc w:val="center"/>
              <w:rPr>
                <w:rFonts w:ascii="Times New Roman" w:eastAsia="ヒラギノ角ゴ Pro W3" w:hAnsi="Times New Roman"/>
                <w:color w:val="00B050"/>
              </w:rPr>
            </w:pPr>
            <w:r w:rsidRPr="00A70A1C">
              <w:rPr>
                <w:rFonts w:ascii="Times New Roman" w:eastAsia="ヒラギノ角ゴ Pro W3" w:hAnsi="Times New Roman"/>
              </w:rPr>
              <w:t xml:space="preserve">max 7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Kryterium zostanie uznane za spełnione:</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20% kosztów kwalifikowalnych operacji (wymagane 10% i 10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20% kosztów kwalifikowalnych operacji.</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tc>
      </w:tr>
      <w:tr w:rsidR="007945A3" w:rsidRPr="00A70A1C" w:rsidTr="00697BB7">
        <w:trPr>
          <w:trHeight w:val="559"/>
        </w:trPr>
        <w:tc>
          <w:tcPr>
            <w:tcW w:w="534" w:type="dxa"/>
          </w:tcPr>
          <w:p w:rsidR="007945A3" w:rsidRPr="00A70A1C" w:rsidRDefault="007945A3" w:rsidP="00697BB7">
            <w:pPr>
              <w:rPr>
                <w:rFonts w:ascii="Times New Roman" w:eastAsia="ヒラギノ角ゴ Pro W3" w:hAnsi="Times New Roman"/>
                <w:color w:val="00B050"/>
              </w:rPr>
            </w:pPr>
            <w:r w:rsidRPr="00A70A1C">
              <w:rPr>
                <w:rFonts w:ascii="Times New Roman" w:eastAsia="ヒラギノ角ゴ Pro W3" w:hAnsi="Times New Roman"/>
              </w:rPr>
              <w:t>4.</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hAnsi="Times New Roman"/>
                <w:color w:val="000000"/>
              </w:rPr>
              <w:t>Innowacyjność wykorzystania inkubatora kuchennego</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 xml:space="preserve">max 15 </w:t>
            </w:r>
            <w:r w:rsidRPr="00A70A1C">
              <w:rPr>
                <w:rFonts w:ascii="Times New Roman" w:eastAsia="ヒラギノ角ゴ Pro W3" w:hAnsi="Times New Roman"/>
              </w:rPr>
              <w:br/>
            </w:r>
          </w:p>
        </w:tc>
        <w:tc>
          <w:tcPr>
            <w:tcW w:w="11056" w:type="dxa"/>
          </w:tcPr>
          <w:p w:rsidR="007945A3" w:rsidRPr="00A70A1C" w:rsidRDefault="007945A3" w:rsidP="00697BB7">
            <w:pPr>
              <w:rPr>
                <w:rFonts w:ascii="Times New Roman" w:hAnsi="Times New Roman"/>
                <w:color w:val="000000"/>
              </w:rPr>
            </w:pPr>
            <w:r w:rsidRPr="00A70A1C">
              <w:rPr>
                <w:rFonts w:ascii="Times New Roman" w:hAnsi="Times New Roman"/>
                <w:color w:val="000000"/>
              </w:rPr>
              <w:t xml:space="preserve">Oceniane jest nowatorstwo w odniesieniu do obszaru LGD. Może to oznaczać zastosowanie pomysłów i rozwiązań znanych i stosowanych na innych obszarach, ale mających innowacyjny charakter na terenie LGD. </w:t>
            </w:r>
          </w:p>
          <w:p w:rsidR="007945A3" w:rsidRPr="00A70A1C" w:rsidRDefault="007945A3" w:rsidP="00697BB7">
            <w:pPr>
              <w:rPr>
                <w:rFonts w:ascii="Times New Roman" w:hAnsi="Times New Roman"/>
                <w:color w:val="000000"/>
              </w:rPr>
            </w:pPr>
          </w:p>
          <w:p w:rsidR="007945A3" w:rsidRPr="00A70A1C" w:rsidRDefault="007945A3" w:rsidP="00697BB7">
            <w:pPr>
              <w:rPr>
                <w:rFonts w:ascii="Times New Roman" w:hAnsi="Times New Roman"/>
              </w:rPr>
            </w:pPr>
            <w:r w:rsidRPr="00A70A1C">
              <w:rPr>
                <w:rFonts w:ascii="Times New Roman" w:hAnsi="Times New Roman"/>
                <w:color w:val="000000"/>
              </w:rPr>
              <w:t xml:space="preserve">Przykłady: </w:t>
            </w:r>
            <w:r w:rsidRPr="00A70A1C">
              <w:rPr>
                <w:rFonts w:ascii="Times New Roman" w:hAnsi="Times New Roman"/>
              </w:rPr>
              <w:t xml:space="preserve">wytworzenie nowej usługi lub produktu, nadanie nowych funkcji inkubatora, które będą bardziej  służyć rozwojowi  gospodarczemu i społecznemu. Wnioskodawca zastosuje nowatorskie, wcześniej niestosowane wykorzystanie lokalnych zasobów i surowców, wprowadzi nowoczesne  rozwiązania techniczne i technologiczne. Przedstawi  nowy </w:t>
            </w:r>
            <w:r w:rsidRPr="00A70A1C">
              <w:rPr>
                <w:rFonts w:ascii="Times New Roman" w:hAnsi="Times New Roman"/>
              </w:rPr>
              <w:lastRenderedPageBreak/>
              <w:t xml:space="preserve">sposób zaangażowania lokalnej społeczności w proces rozwoju lub aktywizacji nowych, grup i środowisk lokalnych. </w:t>
            </w:r>
          </w:p>
          <w:p w:rsidR="007945A3" w:rsidRPr="00A70A1C" w:rsidRDefault="007945A3" w:rsidP="00697BB7">
            <w:pPr>
              <w:rPr>
                <w:rFonts w:ascii="Times New Roman" w:hAnsi="Times New Roman"/>
                <w:b/>
              </w:rPr>
            </w:pPr>
            <w:r w:rsidRPr="00A70A1C">
              <w:rPr>
                <w:rFonts w:ascii="Times New Roman" w:hAnsi="Times New Roman"/>
              </w:rPr>
              <w:t>Wnioskodawca  uzasadnia/udowodnia innowacyjny charakter operacji.</w:t>
            </w:r>
            <w:r w:rsidRPr="00A70A1C">
              <w:rPr>
                <w:rFonts w:ascii="Times New Roman" w:hAnsi="Times New Roman"/>
                <w:b/>
              </w:rPr>
              <w:t xml:space="preserve"> </w:t>
            </w:r>
          </w:p>
          <w:p w:rsidR="007945A3" w:rsidRPr="00A70A1C" w:rsidRDefault="007945A3" w:rsidP="00697BB7">
            <w:pPr>
              <w:rPr>
                <w:rFonts w:ascii="Times New Roman" w:eastAsia="ヒラギノ角ゴ Pro W3" w:hAnsi="Times New Roman"/>
              </w:rPr>
            </w:pPr>
          </w:p>
        </w:tc>
      </w:tr>
      <w:tr w:rsidR="007945A3" w:rsidRPr="00A70A1C" w:rsidTr="00697BB7">
        <w:trPr>
          <w:trHeight w:val="97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zapewni potrzeby przyszłych użytkowników. Zapewni usługi w zakresie</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marketingu (poszukiwanie rynków zbytku, kanałów dystrybucji, ocena konkurencyjności) – 4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badania laboratoryjnego produktów – 4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 pakowania i transportu żywności – 4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4. dostępu do aktualnych przepisów prawnych dotyczących przetwórstwa żywności – 4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5. technologia przetwórstwa żywności – 4 pkt</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20</w:t>
            </w:r>
          </w:p>
        </w:tc>
        <w:tc>
          <w:tcPr>
            <w:tcW w:w="11056" w:type="dxa"/>
          </w:tcPr>
          <w:p w:rsidR="007945A3" w:rsidRPr="00A70A1C" w:rsidRDefault="007945A3" w:rsidP="00697BB7">
            <w:pPr>
              <w:jc w:val="both"/>
              <w:rPr>
                <w:rFonts w:ascii="Times New Roman" w:hAnsi="Times New Roman"/>
                <w:color w:val="000000"/>
              </w:rPr>
            </w:pPr>
            <w:r w:rsidRPr="00A70A1C">
              <w:rPr>
                <w:rFonts w:ascii="Times New Roman" w:hAnsi="Times New Roman"/>
                <w:color w:val="000000"/>
              </w:rPr>
              <w:t>Operacja jest oparta o świadczenie usług w zakresie wynajęcia na godziny pomieszczeń inkubatora wraz z wyposażeniem, wynajęcie w układzie miesięcznym powierzchni inkubatora, doradztwa, głównie w zakresie przetwórstwa rolno-spożywczego w tym wykonanie specjalistycznych opracowań przez personel Inkubatora.</w:t>
            </w:r>
          </w:p>
          <w:p w:rsidR="007945A3" w:rsidRPr="00A70A1C" w:rsidRDefault="007945A3" w:rsidP="00697BB7">
            <w:pPr>
              <w:jc w:val="both"/>
              <w:rPr>
                <w:rFonts w:ascii="Times New Roman" w:hAnsi="Times New Roman"/>
                <w:color w:val="000000"/>
              </w:rPr>
            </w:pPr>
            <w:r w:rsidRPr="00A70A1C">
              <w:rPr>
                <w:rFonts w:ascii="Times New Roman" w:hAnsi="Times New Roman"/>
                <w:color w:val="000000"/>
              </w:rPr>
              <w:t>Wnioskodawca zapewnia pomoc w poszukiwaniu rynków zbytu, kanałów dystrybucji i ocenie konkurencyjności.</w:t>
            </w:r>
          </w:p>
          <w:p w:rsidR="007945A3" w:rsidRPr="00A70A1C" w:rsidRDefault="007945A3" w:rsidP="00697BB7">
            <w:pPr>
              <w:jc w:val="both"/>
              <w:rPr>
                <w:rFonts w:ascii="Times New Roman" w:hAnsi="Times New Roman"/>
                <w:color w:val="000000"/>
              </w:rPr>
            </w:pPr>
            <w:r w:rsidRPr="00A70A1C">
              <w:rPr>
                <w:rFonts w:ascii="Times New Roman" w:hAnsi="Times New Roman"/>
                <w:color w:val="000000"/>
              </w:rPr>
              <w:t>Zapewnia badania laboratoryjne produktów, pakowanie oraz pomoc w obsłudze transportu specjalistycznego żywności.</w:t>
            </w:r>
          </w:p>
          <w:p w:rsidR="007945A3" w:rsidRPr="00A70A1C" w:rsidRDefault="007945A3" w:rsidP="00697BB7">
            <w:pPr>
              <w:jc w:val="both"/>
              <w:rPr>
                <w:rFonts w:ascii="Times New Roman" w:hAnsi="Times New Roman"/>
                <w:color w:val="000000"/>
              </w:rPr>
            </w:pPr>
            <w:r w:rsidRPr="00A70A1C">
              <w:rPr>
                <w:rFonts w:ascii="Times New Roman" w:hAnsi="Times New Roman"/>
                <w:color w:val="000000"/>
              </w:rPr>
              <w:t>Wnioskodawca zapewnia dostęp do aktualnych przepisów prawnych dotyczących przetwórstwa żywności.</w:t>
            </w:r>
          </w:p>
          <w:p w:rsidR="007945A3" w:rsidRPr="00A70A1C" w:rsidRDefault="007945A3" w:rsidP="00697BB7">
            <w:pPr>
              <w:jc w:val="both"/>
              <w:rPr>
                <w:rFonts w:ascii="Times New Roman" w:hAnsi="Times New Roman"/>
                <w:color w:val="000000"/>
              </w:rPr>
            </w:pPr>
            <w:r w:rsidRPr="00A70A1C">
              <w:rPr>
                <w:rFonts w:ascii="Times New Roman" w:hAnsi="Times New Roman"/>
                <w:color w:val="000000"/>
              </w:rPr>
              <w:t>Zapewnia technologię przetwórstwa żywności zgodną z obowiązującymi przepisami prawnymi.</w:t>
            </w:r>
          </w:p>
          <w:p w:rsidR="007945A3" w:rsidRPr="00A70A1C" w:rsidRDefault="007945A3" w:rsidP="00697BB7">
            <w:pPr>
              <w:jc w:val="both"/>
              <w:rPr>
                <w:rFonts w:ascii="Times New Roman" w:eastAsia="ヒラギノ角ゴ Pro W3" w:hAnsi="Times New Roman"/>
                <w:color w:val="000000"/>
              </w:rPr>
            </w:pPr>
          </w:p>
        </w:tc>
      </w:tr>
      <w:tr w:rsidR="007945A3" w:rsidRPr="00A70A1C" w:rsidTr="00697BB7">
        <w:trPr>
          <w:trHeight w:val="16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Projekt zakłada wykorzystanie zasobów lokalnych </w:t>
            </w:r>
          </w:p>
          <w:p w:rsidR="007945A3" w:rsidRPr="00A70A1C" w:rsidRDefault="007945A3" w:rsidP="00697BB7">
            <w:pPr>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color w:val="000000"/>
              </w:rPr>
            </w:pP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8</w:t>
            </w:r>
          </w:p>
          <w:p w:rsidR="007945A3" w:rsidRPr="00A70A1C" w:rsidRDefault="007945A3" w:rsidP="00697BB7">
            <w:pPr>
              <w:jc w:val="center"/>
              <w:rPr>
                <w:rFonts w:ascii="Times New Roman" w:eastAsia="ヒラギノ角ゴ Pro W3" w:hAnsi="Times New Roman"/>
                <w:color w:val="000000"/>
              </w:rPr>
            </w:pP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Zadaniem Wnioskodawcy jest szczegółowo opisać, w jaki sposób zamierza wykorzystać lokalne zasoby obszaru oraz uzasadnić w jaki sposób wykorzystanie wskazanych zasobów wpłynie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(np. uzasadnienie wnioskodawcy sprowadzi się do stwierdzenia, że będzie wykorzystywał zasoby ludzkie obszaru).</w:t>
            </w:r>
          </w:p>
        </w:tc>
      </w:tr>
      <w:tr w:rsidR="007945A3" w:rsidRPr="00A70A1C" w:rsidTr="00697BB7">
        <w:trPr>
          <w:trHeight w:val="1692"/>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opracowanie materiałów promocyjnych.</w:t>
            </w:r>
          </w:p>
        </w:tc>
        <w:tc>
          <w:tcPr>
            <w:tcW w:w="851" w:type="dxa"/>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9</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hAnsi="Times New Roman"/>
                <w:color w:val="000000"/>
              </w:rPr>
              <w:t>Preferowane są operacje promujące walory obszaru LGD z wykorzystaniem logo LGD, UE, PROW. Taka promocja przyczyni się do rozpoznawalności obszaru, Stowarzyszenia Lokalnej Grupy Działania „Siła w Grupie” służy informacji, że operacja została zrealizowana dzięki dotacji unijnej. Wnioskodawca składa oświadczenie o zastosowanych formach promocji.</w:t>
            </w:r>
          </w:p>
        </w:tc>
      </w:tr>
      <w:tr w:rsidR="007945A3" w:rsidRPr="00A70A1C" w:rsidTr="00697BB7">
        <w:trPr>
          <w:trHeight w:val="55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2. w szkoleniach </w:t>
            </w:r>
            <w:r w:rsidRPr="00A70A1C">
              <w:rPr>
                <w:rFonts w:ascii="Times New Roman" w:eastAsia="ヒラギノ角ゴ Pro W3" w:hAnsi="Times New Roman"/>
              </w:rPr>
              <w:lastRenderedPageBreak/>
              <w:t>organizowanych przez LGD lub zewnętrznych: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20 pkt.</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 xml:space="preserve">20 </w:t>
            </w:r>
            <w:r w:rsidRPr="00A70A1C">
              <w:rPr>
                <w:rFonts w:ascii="Times New Roman" w:eastAsia="ヒラギノ角ゴ Pro W3" w:hAnsi="Times New Roman"/>
              </w:rPr>
              <w:br/>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44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uwzględnił i opisał działania w ramach projektu dotyczące wykorzystania metod i/lub narzędzi z zakresu ochrony środowiska, przeciwdziałania zmianom klimatu</w:t>
            </w:r>
          </w:p>
        </w:tc>
        <w:tc>
          <w:tcPr>
            <w:tcW w:w="851" w:type="dxa"/>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6</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198"/>
      </w:tblGrid>
      <w:tr w:rsidR="007945A3" w:rsidRPr="00A70A1C" w:rsidTr="00697BB7">
        <w:trPr>
          <w:trHeight w:val="310"/>
        </w:trPr>
        <w:tc>
          <w:tcPr>
            <w:tcW w:w="15276" w:type="dxa"/>
            <w:gridSpan w:val="4"/>
            <w:shd w:val="clear" w:color="auto" w:fill="F8F8F8"/>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II.1.1. INFR</w:t>
            </w:r>
            <w:r w:rsidR="00697BB7">
              <w:rPr>
                <w:rFonts w:ascii="Times New Roman" w:eastAsia="ヒラギノ角ゴ Pro W3" w:hAnsi="Times New Roman"/>
                <w:b/>
                <w:color w:val="0070C0"/>
              </w:rPr>
              <w:t>ASTRUKTURA W ZAKRESIE TURYSTYKI I</w:t>
            </w:r>
            <w:r w:rsidRPr="00A70A1C">
              <w:rPr>
                <w:rFonts w:ascii="Times New Roman" w:eastAsia="ヒラギノ角ゴ Pro W3" w:hAnsi="Times New Roman"/>
                <w:b/>
                <w:color w:val="0070C0"/>
              </w:rPr>
              <w:t xml:space="preserve"> REKREACJI </w:t>
            </w:r>
          </w:p>
        </w:tc>
      </w:tr>
      <w:tr w:rsidR="007945A3" w:rsidRPr="00A70A1C" w:rsidTr="00697BB7">
        <w:trPr>
          <w:trHeight w:val="310"/>
        </w:trPr>
        <w:tc>
          <w:tcPr>
            <w:tcW w:w="534" w:type="dxa"/>
          </w:tcPr>
          <w:p w:rsidR="007945A3" w:rsidRPr="00A70A1C" w:rsidRDefault="007945A3" w:rsidP="00697BB7">
            <w:pPr>
              <w:spacing w:after="160" w:line="259" w:lineRule="auto"/>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851"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Liczba pkt</w:t>
            </w:r>
          </w:p>
        </w:tc>
        <w:tc>
          <w:tcPr>
            <w:tcW w:w="11198" w:type="dxa"/>
          </w:tcPr>
          <w:p w:rsidR="007945A3" w:rsidRPr="00A70A1C" w:rsidRDefault="007945A3" w:rsidP="00697BB7">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Sposób weryfikacji</w:t>
            </w:r>
          </w:p>
        </w:tc>
      </w:tr>
      <w:tr w:rsidR="007945A3" w:rsidRPr="00A70A1C" w:rsidTr="00697BB7">
        <w:trPr>
          <w:trHeight w:val="130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w miejscowości do 5 tysięcy mieszkańców</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r>
      <w:tr w:rsidR="007945A3" w:rsidRPr="00A70A1C" w:rsidTr="00697BB7">
        <w:trPr>
          <w:trHeight w:val="856"/>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dofinansowania przekracza 100 tysięcy złotych</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30</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tc>
      </w:tr>
      <w:tr w:rsidR="007945A3" w:rsidRPr="00A70A1C" w:rsidTr="00697BB7">
        <w:trPr>
          <w:trHeight w:val="31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3.</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- 5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pow. 15 punktów procentowych - 10 pkt</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10 </w:t>
            </w:r>
          </w:p>
        </w:tc>
        <w:tc>
          <w:tcPr>
            <w:tcW w:w="11198" w:type="dxa"/>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25%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51,37%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200 tys. zł, a wnosi o dofinansowanie w wysokości 100 tys. zł. Oznacza to, że wkład własny 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r>
      <w:tr w:rsidR="007945A3" w:rsidRPr="00A70A1C" w:rsidTr="00697BB7">
        <w:trPr>
          <w:trHeight w:val="1997"/>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uwzględnił i opisał działania w ramach projektu dotyczące wykorzystania metod i/lub narzędzi z zakresu ochrony środowiska, przeciwdziałania zmianom </w:t>
            </w:r>
            <w:r w:rsidRPr="00A70A1C">
              <w:rPr>
                <w:rFonts w:ascii="Times New Roman" w:eastAsia="ヒラギノ角ゴ Pro W3" w:hAnsi="Times New Roman"/>
                <w:color w:val="000000"/>
              </w:rPr>
              <w:lastRenderedPageBreak/>
              <w:t xml:space="preserve">klimatu. </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8</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697BB7">
        <w:trPr>
          <w:trHeight w:val="167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rPr>
                <w:rFonts w:ascii="Times New Roman" w:eastAsia="ヒラギノ角ゴ Pro W3" w:hAnsi="Times New Roman"/>
                <w:color w:val="000000"/>
              </w:rPr>
            </w:pP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2613"/>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max 30 </w:t>
            </w:r>
            <w:r w:rsidRPr="00A70A1C">
              <w:rPr>
                <w:rFonts w:ascii="Times New Roman" w:eastAsia="ヒラギノ角ゴ Pro W3" w:hAnsi="Times New Roman"/>
              </w:rPr>
              <w:br/>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98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Planowany czas realizacji projektu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12 miesięcy: 10 pkt</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 powyżej 12 do 18 miesięcy: 5 pkt</w:t>
            </w:r>
          </w:p>
        </w:tc>
        <w:tc>
          <w:tcPr>
            <w:tcW w:w="851"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rPr>
              <w:t>Weryfikacja nastąpi w oparciu o informacje zawarte we wniosku o dofinansowanie. Brany pod uwagę jest planowany czas realizacji projektu rozumiany jako okres pomiędzy dniem zawarcia umowy przyznania pomocy a planowanym dniem złożenia wniosku o płatność.</w:t>
            </w:r>
          </w:p>
        </w:tc>
      </w:tr>
      <w:tr w:rsidR="007945A3" w:rsidRPr="00A70A1C" w:rsidTr="00697BB7">
        <w:trPr>
          <w:trHeight w:val="539"/>
        </w:trPr>
        <w:tc>
          <w:tcPr>
            <w:tcW w:w="3227" w:type="dxa"/>
            <w:gridSpan w:val="2"/>
            <w:shd w:val="clear" w:color="auto" w:fill="F8F8F8"/>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198" w:type="dxa"/>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tbl>
      <w:tblPr>
        <w:tblW w:w="15026" w:type="dxa"/>
        <w:tblInd w:w="5" w:type="dxa"/>
        <w:tblLayout w:type="fixed"/>
        <w:tblLook w:val="0000"/>
      </w:tblPr>
      <w:tblGrid>
        <w:gridCol w:w="426"/>
        <w:gridCol w:w="2693"/>
        <w:gridCol w:w="850"/>
        <w:gridCol w:w="11057"/>
      </w:tblGrid>
      <w:tr w:rsidR="007945A3" w:rsidRPr="00A70A1C" w:rsidTr="00697BB7">
        <w:trPr>
          <w:trHeight w:val="440"/>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8F8F8"/>
            <w:tcMar>
              <w:top w:w="0" w:type="dxa"/>
              <w:left w:w="0" w:type="dxa"/>
              <w:bottom w:w="0" w:type="dxa"/>
              <w:right w:w="0" w:type="dxa"/>
            </w:tcMar>
          </w:tcPr>
          <w:p w:rsidR="007945A3" w:rsidRPr="00A70A1C" w:rsidRDefault="007945A3" w:rsidP="00697BB7">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II.1.2. MAŁA INFRASTRUKTURA W ZAKRESIE TURYSTYKI, REKREACJI I DZIEDZICTWA KULTUROWEGO</w:t>
            </w:r>
          </w:p>
        </w:tc>
      </w:tr>
      <w:tr w:rsidR="007945A3" w:rsidRPr="00A70A1C" w:rsidTr="00697BB7">
        <w:trPr>
          <w:trHeight w:val="2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 xml:space="preserve">Liczba </w:t>
            </w:r>
            <w:r w:rsidRPr="00A70A1C">
              <w:rPr>
                <w:rFonts w:ascii="Times New Roman" w:eastAsia="ヒラギノ角ゴ Pro W3" w:hAnsi="Times New Roman"/>
                <w:b/>
                <w:color w:val="000000"/>
              </w:rPr>
              <w:lastRenderedPageBreak/>
              <w:t>pkt.</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Sposób weryfikacji</w:t>
            </w:r>
          </w:p>
        </w:tc>
      </w:tr>
      <w:tr w:rsidR="007945A3" w:rsidRPr="00A70A1C" w:rsidTr="00697BB7">
        <w:trPr>
          <w:trHeight w:val="14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697BB7">
        <w:trPr>
          <w:trHeight w:val="15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Wkład własny niefinansowy wnioskodawcy jest wyższy od wymaganego:</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3 pkt</w:t>
            </w:r>
            <w:r w:rsidRPr="00A70A1C">
              <w:rPr>
                <w:rFonts w:ascii="Times New Roman" w:eastAsia="ヒラギノ角ゴ Pro W3" w:hAnsi="Times New Roman"/>
                <w:color w:val="000000"/>
              </w:rPr>
              <w:br/>
              <w:t>2. pow. 15 do 30 punktów procentowych: 6 pkt</w:t>
            </w:r>
            <w:r w:rsidRPr="00A70A1C">
              <w:rPr>
                <w:rFonts w:ascii="Times New Roman" w:eastAsia="ヒラギノ角ゴ Pro W3" w:hAnsi="Times New Roman"/>
                <w:color w:val="000000"/>
              </w:rPr>
              <w:br/>
              <w:t>3. pow. 30 do 50 punktów procentowych: 9 pkt</w:t>
            </w:r>
            <w:r w:rsidRPr="00A70A1C">
              <w:rPr>
                <w:rFonts w:ascii="Times New Roman" w:eastAsia="ヒラギノ角ゴ Pro W3" w:hAnsi="Times New Roman"/>
                <w:color w:val="000000"/>
              </w:rPr>
              <w:br/>
            </w:r>
            <w:r w:rsidRPr="00A70A1C">
              <w:rPr>
                <w:rFonts w:ascii="Times New Roman" w:eastAsia="ヒラギノ角ゴ Pro W3" w:hAnsi="Times New Roman"/>
                <w:color w:val="000000"/>
              </w:rPr>
              <w:lastRenderedPageBreak/>
              <w:t>4. pow. 50 punktów procentowych: 12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B050"/>
              </w:rPr>
            </w:pPr>
            <w:r w:rsidRPr="00A70A1C">
              <w:rPr>
                <w:rFonts w:ascii="Times New Roman" w:eastAsia="ヒラギノ角ゴ Pro W3" w:hAnsi="Times New Roman"/>
                <w:color w:val="000000"/>
              </w:rPr>
              <w:lastRenderedPageBreak/>
              <w:t xml:space="preserve">max </w:t>
            </w:r>
            <w:r w:rsidRPr="00A70A1C">
              <w:rPr>
                <w:rFonts w:ascii="Times New Roman" w:eastAsia="ヒラギノ角ゴ Pro W3" w:hAnsi="Times New Roman"/>
              </w:rPr>
              <w:t>12</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 xml:space="preserve">w pkt 2. w sytuacji, jeśli Wnioskodawca zadeklaruje wniesienie wkładu własnego na poziomie minimum 25,1% kosztów </w:t>
            </w:r>
            <w:r w:rsidRPr="00A70A1C">
              <w:rPr>
                <w:rFonts w:ascii="Times New Roman" w:eastAsia="ヒラギノ角ゴ Pro W3" w:hAnsi="Times New Roman"/>
              </w:rPr>
              <w:lastRenderedPageBreak/>
              <w:t>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86,37%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697BB7">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t>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organizacje pozarządowe – fundacje, stowarzyszenia (także zwykłe), związki stowarzyszeń, oddziały, sekcje i koła organizacji pozarządowych</w:t>
            </w:r>
          </w:p>
        </w:tc>
      </w:tr>
      <w:tr w:rsidR="007945A3" w:rsidRPr="00A70A1C" w:rsidTr="00697BB7">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Default="007945A3" w:rsidP="00697BB7">
            <w:pPr>
              <w:rPr>
                <w:rFonts w:ascii="Times New Roman" w:hAnsi="Times New Roman"/>
              </w:rPr>
            </w:pPr>
            <w:r>
              <w:rPr>
                <w:rFonts w:ascii="Times New Roman" w:hAnsi="Times New Roman"/>
              </w:rPr>
              <w:t xml:space="preserve">Operacja będzie realizowana w miejscowości zamieszkanej przez mniej niż 5 tysięcy </w:t>
            </w:r>
            <w:r>
              <w:rPr>
                <w:rFonts w:ascii="Times New Roman" w:hAnsi="Times New Roman"/>
              </w:rPr>
              <w:lastRenderedPageBreak/>
              <w:t>mieszkańców:</w:t>
            </w:r>
          </w:p>
          <w:p w:rsidR="007945A3" w:rsidRPr="00A70A1C" w:rsidRDefault="007945A3" w:rsidP="00697BB7">
            <w:pPr>
              <w:rPr>
                <w:rFonts w:ascii="Times New Roman" w:eastAsia="ヒラギノ角ゴ Pro W3"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lastRenderedPageBreak/>
              <w:t>max 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697BB7">
        <w:trPr>
          <w:trHeight w:val="26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lastRenderedPageBreak/>
              <w:t>5</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doradztwie indywidualnym w Biurze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w doradztwie indywidualnym i w szkoleniach: 20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15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6</w:t>
            </w:r>
            <w:r w:rsidRPr="00A70A1C">
              <w:rPr>
                <w:rFonts w:ascii="Times New Roman" w:eastAsia="ヒラギノ角ゴ Pro W3" w:hAnsi="Times New Roman"/>
                <w:color w:val="000000"/>
              </w:rPr>
              <w:t>.</w:t>
            </w:r>
          </w:p>
          <w:p w:rsidR="007945A3" w:rsidRPr="00A70A1C" w:rsidRDefault="007945A3" w:rsidP="00697BB7">
            <w:pPr>
              <w:rPr>
                <w:rFonts w:ascii="Times New Roman" w:eastAsia="ヒラギノ角ゴ Pro W3"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697BB7">
            <w:pPr>
              <w:rPr>
                <w:rFonts w:ascii="Times New Roman" w:eastAsia="ヒラギノ角ゴ Pro W3"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697BB7">
            <w:pPr>
              <w:jc w:val="center"/>
              <w:rPr>
                <w:rFonts w:ascii="Times New Roman" w:eastAsia="ヒラギノ角ゴ Pro W3" w:hAnsi="Times New Roman"/>
                <w:color w:val="000000"/>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84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lastRenderedPageBreak/>
              <w:t>7</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Wnioskodawca przewidział zastosowanie wytycznych dotyczących wizualizacji i promocji opracowane przez LGD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697BB7">
        <w:trPr>
          <w:trHeight w:val="26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8</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promocję walorów:</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 więcej niż 1 gminy: 5 pkt</w:t>
            </w:r>
            <w:r w:rsidRPr="00A70A1C">
              <w:rPr>
                <w:rFonts w:ascii="Times New Roman" w:eastAsia="ヒラギノ角ゴ Pro W3" w:hAnsi="Times New Roman"/>
                <w:color w:val="000000"/>
              </w:rPr>
              <w:br/>
              <w:t>- całego obszaru LGD: 10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dotyczy bezpośredniej promocji w ramach projektu walorów przyrodniczych, historycznych, kulturowych występujących na obszarze objętym Lokalną Strategią Rozwoju. Weryfikacja nastąpi w oparciu o informacje zawarte we wniosku o dofinansowanie. W przypadku działań o charakterze promocyjnym, przykładem promocji zasobów i walorów jest zaprezentowanie ich w formie publikacji, materiałów lub innej formie skierowanej w szczególności do mieszkańców, turystów i podmiotów spoza obszaru objętego LSR. W celu zachowania elastyczności kryterium oraz równych szans w dostępie do środków, LGD nie zamyka listy sposobów promowania lokalnych zasobów i potencjału. Zadaniem Wnioskodawcy jest szczegółowo opisać, w jaki sposób zamierza promować lokalne zasoby i walory turystyczne obszaru oraz uzasadnić w jaki sposób wybrany zasięg promocji wskazanych zasobów i walorów wpłynie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operacja dotycząca publikacji przewodnika po szlakach rowerowych gminy A nie uzyska punktów w ramach kryterium. Jeśli publikacja obejmowałaby prezentację szlaków na terenie trzech sąsiednich gmin (A, B i C) uzyskałaby 5 punktów. Jeśli w publikacji opisano wszystkie szlaki rowerowe, na całym terenie LGD, operacja uzyskałaby 10 punktów.</w:t>
            </w:r>
          </w:p>
        </w:tc>
      </w:tr>
      <w:tr w:rsidR="007945A3" w:rsidRPr="00A70A1C" w:rsidTr="00697BB7">
        <w:trPr>
          <w:trHeight w:val="6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9</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opracowanie materiałów promocyjnych.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8</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 xml:space="preserve">Kryterium dotyczy bezpośredniej promocji w ramach projektu walorów i zasobów występujących na obszarze objętym Lokalną Strategią Rozwoju, skierowanej w szczególności do osób i podmiotów spoza obszaru. Weryfikacja nastąpi </w:t>
            </w:r>
            <w:r w:rsidRPr="00A70A1C">
              <w:rPr>
                <w:rFonts w:ascii="Times New Roman" w:eastAsia="ヒラギノ角ゴ Pro W3" w:hAnsi="Times New Roman"/>
                <w:color w:val="000000"/>
              </w:rPr>
              <w:lastRenderedPageBreak/>
              <w:t xml:space="preserve">w oparciu o informacje zawarte we wniosku o dofinansowanie. W przypadku materiałów o charakterze promocyjnym, przykładem jest folder, prezentacja, publikacja w wersji tradycyjnej lub elektronicznej, która może zostać rozpowszechniona w wielu egzemplarzach w ramach działań informacyjno-promocyjnych. W celu promowania innowacyjnych rozwiązań, zachowania elastyczności kryterium oraz równych szans w dostępie do środków, LGD nie zamyka definicji materiałów promocyjnych. </w:t>
            </w:r>
          </w:p>
        </w:tc>
      </w:tr>
      <w:tr w:rsidR="007945A3" w:rsidRPr="00A70A1C" w:rsidTr="00697BB7">
        <w:trPr>
          <w:trHeight w:val="6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RAZEM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697BB7">
        <w:trPr>
          <w:trHeight w:val="310"/>
        </w:trPr>
        <w:tc>
          <w:tcPr>
            <w:tcW w:w="15134" w:type="dxa"/>
            <w:gridSpan w:val="4"/>
            <w:shd w:val="clear" w:color="auto" w:fill="F8F8F8"/>
          </w:tcPr>
          <w:p w:rsidR="007945A3" w:rsidRPr="00A70A1C" w:rsidRDefault="007945A3" w:rsidP="00697BB7">
            <w:pPr>
              <w:rPr>
                <w:rFonts w:ascii="Times New Roman" w:eastAsia="ヒラギノ角ゴ Pro W3" w:hAnsi="Times New Roman"/>
                <w:b/>
                <w:color w:val="000000"/>
              </w:rPr>
            </w:pPr>
            <w:r w:rsidRPr="00A70A1C">
              <w:rPr>
                <w:rFonts w:ascii="Times New Roman" w:eastAsia="ヒラギノ角ゴ Pro W3" w:hAnsi="Times New Roman"/>
                <w:b/>
                <w:color w:val="0070C0"/>
              </w:rPr>
              <w:t xml:space="preserve">PRZEDSIĘWZIĘCIE III.1.1. DZIAŁANIA EDUKACYJNE, AKTYWIZUJĄCE I INTEGRACYJNE </w:t>
            </w:r>
          </w:p>
        </w:tc>
      </w:tr>
      <w:tr w:rsidR="007945A3" w:rsidRPr="00A70A1C" w:rsidTr="00697BB7">
        <w:trPr>
          <w:trHeight w:val="310"/>
        </w:trPr>
        <w:tc>
          <w:tcPr>
            <w:tcW w:w="534" w:type="dxa"/>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697BB7">
        <w:trPr>
          <w:trHeight w:val="1063"/>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697BB7">
        <w:trPr>
          <w:trHeight w:val="155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Wkład własny niefinansowy wnioskodawcy jest wyższy od wymaganego:</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pow. 5% do 15% - 3 pkt</w:t>
            </w:r>
            <w:r w:rsidRPr="00A70A1C">
              <w:rPr>
                <w:rFonts w:ascii="Times New Roman" w:eastAsia="ヒラギノ角ゴ Pro W3" w:hAnsi="Times New Roman"/>
              </w:rPr>
              <w:br/>
              <w:t>- pow. 15% do 30% - 6 pkt</w:t>
            </w:r>
            <w:r w:rsidRPr="00A70A1C">
              <w:rPr>
                <w:rFonts w:ascii="Times New Roman" w:eastAsia="ヒラギノ角ゴ Pro W3" w:hAnsi="Times New Roman"/>
              </w:rPr>
              <w:br/>
            </w:r>
            <w:r w:rsidRPr="00A70A1C">
              <w:rPr>
                <w:rFonts w:ascii="Times New Roman" w:eastAsia="ヒラギノ角ゴ Pro W3" w:hAnsi="Times New Roman"/>
              </w:rPr>
              <w:lastRenderedPageBreak/>
              <w:t>- pow. 30% do 50% - 9 pkt</w:t>
            </w:r>
            <w:r w:rsidRPr="00A70A1C">
              <w:rPr>
                <w:rFonts w:ascii="Times New Roman" w:eastAsia="ヒラギノ角ゴ Pro W3" w:hAnsi="Times New Roman"/>
              </w:rPr>
              <w:br/>
              <w:t>- pow. 50% - 12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25,1% kosztów 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4. w sytuacji, jeśli Wnioskodawca zadeklaruje wniesienie wkładu własnego na poziomie powyżej 86,37% kosztów kwalifikowalnych operacji.</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697BB7">
        <w:trPr>
          <w:trHeight w:val="60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r w:rsidRPr="00A70A1C">
              <w:rPr>
                <w:rFonts w:ascii="Times New Roman" w:eastAsia="ヒラギノ角ゴ Pro W3" w:hAnsi="Times New Roman"/>
              </w:rPr>
              <w:br/>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 organizacje pozarządowe – fundacje, stowarzyszenia (także zwykłe), związki stowarzyszeń, oddziały, sekcje i koła organizacji pozarządowych</w:t>
            </w:r>
          </w:p>
        </w:tc>
      </w:tr>
      <w:tr w:rsidR="007945A3" w:rsidRPr="00A70A1C" w:rsidTr="00697BB7">
        <w:trPr>
          <w:trHeight w:val="97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Planowana liczba uczestników zadania wynosi:</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od 50 do 100 osób - 4 pkt</w:t>
            </w:r>
            <w:r w:rsidRPr="00A70A1C">
              <w:rPr>
                <w:rFonts w:ascii="Times New Roman" w:eastAsia="ヒラギノ角ゴ Pro W3" w:hAnsi="Times New Roman"/>
              </w:rPr>
              <w:br/>
              <w:t>2. powyżej 100 osób - 8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8</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4 lub 8 pkt.)</w:t>
            </w:r>
          </w:p>
        </w:tc>
      </w:tr>
      <w:tr w:rsidR="007945A3" w:rsidRPr="00A70A1C" w:rsidTr="00697BB7">
        <w:trPr>
          <w:trHeight w:val="3394"/>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5.</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1. w doradztwie indywidualnym w Biurze LGD –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3. w doradztwie indywidualnym i w szkoleniach – 20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697BB7">
        <w:trPr>
          <w:trHeight w:val="2690"/>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Projekt zakłada wykorzystanie zasobów lokalnych i walorów turystycznych obszaru.</w:t>
            </w:r>
          </w:p>
          <w:p w:rsidR="007945A3" w:rsidRPr="00A70A1C" w:rsidRDefault="007945A3" w:rsidP="00697BB7">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77774B" w:rsidRDefault="007945A3" w:rsidP="00697BB7">
            <w:pPr>
              <w:jc w:val="center"/>
              <w:rPr>
                <w:rFonts w:ascii="Times New Roman" w:eastAsia="ヒラギノ角ゴ Pro W3" w:hAnsi="Times New Roman"/>
                <w:color w:val="FF0000"/>
              </w:rPr>
            </w:pPr>
            <w:r w:rsidRPr="0077774B">
              <w:rPr>
                <w:rFonts w:ascii="Times New Roman" w:eastAsia="ヒラギノ角ゴ Pro W3" w:hAnsi="Times New Roman"/>
                <w:color w:val="FF0000"/>
              </w:rPr>
              <w:t>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697BB7">
            <w:pPr>
              <w:jc w:val="both"/>
              <w:rPr>
                <w:rFonts w:ascii="Times New Roman" w:eastAsia="ヒラギノ角ゴ Pro W3" w:hAnsi="Times New Roman"/>
                <w:color w:val="000000"/>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697BB7">
        <w:trPr>
          <w:trHeight w:val="126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Wnioskodawca przewidział zastosowanie wytycznych dotyczących wizualizacji i promocji opracowanych przez LGD</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697BB7">
        <w:trPr>
          <w:trHeight w:val="113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Projekt ma charakter międzypokoleniowy, osoby do 35 r.ż. stanowią min. 30% uczestników oraz osoby powyżej 50 r. ż. stanowią </w:t>
            </w:r>
            <w:r w:rsidRPr="00A70A1C">
              <w:rPr>
                <w:rFonts w:ascii="Times New Roman" w:eastAsia="ヒラギノ角ゴ Pro W3" w:hAnsi="Times New Roman"/>
              </w:rPr>
              <w:lastRenderedPageBreak/>
              <w:t>min. 30% uczestników.</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lastRenderedPageBreak/>
              <w:t>5</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Wnioskodawca uwzględni i szczegółowo opisze metody i narzędzia wspierające dialog międzypokoleniowy oraz w jaki sposób zapewni udział osób do 35 roku życia na poziomie 30% uczestników projektu oraz osób pow. 50 roku życia na poziomie 30% uczestników projektu. </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lastRenderedPageBreak/>
              <w:t>Obie grupy muszą stanowić co najmniej po 30% docelowej liczby uczestników projektu. Przykładowo: jeśli w projekcie przewidziano, że projektem objęte będą wyłącznie osoby w wieku 50+, operacja nie uzyska punktów w ramach kryterium.</w:t>
            </w:r>
          </w:p>
        </w:tc>
      </w:tr>
      <w:tr w:rsidR="007945A3" w:rsidRPr="00A70A1C" w:rsidTr="00697BB7">
        <w:trPr>
          <w:trHeight w:val="2685"/>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na terenie:</w:t>
            </w:r>
          </w:p>
          <w:p w:rsidR="007945A3" w:rsidRPr="00A70A1C" w:rsidRDefault="007945A3" w:rsidP="00697BB7">
            <w:pPr>
              <w:rPr>
                <w:rFonts w:ascii="Times New Roman" w:eastAsia="ヒラギノ角ゴ Pro W3" w:hAnsi="Times New Roman"/>
                <w:strike/>
                <w:color w:val="000000"/>
              </w:rPr>
            </w:pPr>
            <w:r w:rsidRPr="00A70A1C">
              <w:rPr>
                <w:rFonts w:ascii="Times New Roman" w:eastAsia="ヒラギノ角ゴ Pro W3" w:hAnsi="Times New Roman"/>
                <w:color w:val="000000"/>
              </w:rPr>
              <w:t>1. więcej niż jednej miejscowości – 5 pkt,</w:t>
            </w:r>
            <w:r w:rsidRPr="00A70A1C">
              <w:rPr>
                <w:rFonts w:ascii="Times New Roman" w:eastAsia="ヒラギノ角ゴ Pro W3" w:hAnsi="Times New Roman"/>
                <w:color w:val="000000"/>
              </w:rPr>
              <w:br/>
              <w:t>2. więcej niż jednej gminy, wchodzącej w skład LGD – 10 pkt</w:t>
            </w: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max 10</w:t>
            </w:r>
          </w:p>
        </w:tc>
        <w:tc>
          <w:tcPr>
            <w:tcW w:w="11056" w:type="dxa"/>
            <w:shd w:val="clear" w:color="auto" w:fill="auto"/>
            <w:tcMar>
              <w:top w:w="0" w:type="dxa"/>
              <w:left w:w="0" w:type="dxa"/>
              <w:bottom w:w="0" w:type="dxa"/>
              <w:right w:w="0" w:type="dxa"/>
            </w:tcMar>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wskazane miejsca realizacji projektu rozumiane jako obiekty lub przestrzeń w jakiej realizowane będą działania bezpośrednio angażujące odbiorców.</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pkt).</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1: w ramach operacji zostanie zrealizowana seria warsztatów kulinarnych – 3 warsztaty organizowane kolejno w 3 miejscowościach na terenie jednej gminy. Operacja otrzyma 5 punktów.</w:t>
            </w:r>
          </w:p>
          <w:p w:rsidR="007945A3" w:rsidRPr="00A70A1C" w:rsidRDefault="007945A3" w:rsidP="00697BB7">
            <w:pPr>
              <w:rPr>
                <w:rFonts w:ascii="Times New Roman" w:eastAsia="ヒラギノ角ゴ Pro W3" w:hAnsi="Times New Roman"/>
              </w:rPr>
            </w:pPr>
          </w:p>
          <w:p w:rsidR="007945A3" w:rsidRPr="00A70A1C" w:rsidRDefault="007945A3" w:rsidP="00697BB7">
            <w:pPr>
              <w:rPr>
                <w:rFonts w:ascii="Times New Roman" w:eastAsia="ヒラギノ角ゴ Pro W3" w:hAnsi="Times New Roman"/>
              </w:rPr>
            </w:pPr>
            <w:r w:rsidRPr="00A70A1C">
              <w:rPr>
                <w:rFonts w:ascii="Times New Roman" w:eastAsia="ヒラギノ角ゴ Pro W3" w:hAnsi="Times New Roman"/>
              </w:rPr>
              <w:t>Przykład 2: Wnioskodawcą jest fundacja posiadająca siedzibę w miejscowości A, która zorganizuje serię warsztatów 3 kulinarnych, wszystkie odbędą w miejscowości B. Operacja nie uzyska punktów.</w:t>
            </w:r>
          </w:p>
        </w:tc>
      </w:tr>
      <w:tr w:rsidR="007945A3" w:rsidRPr="00A70A1C" w:rsidTr="00697BB7">
        <w:trPr>
          <w:trHeight w:val="2685"/>
        </w:trPr>
        <w:tc>
          <w:tcPr>
            <w:tcW w:w="534" w:type="dxa"/>
          </w:tcPr>
          <w:p w:rsidR="007945A3" w:rsidRPr="00A70A1C" w:rsidRDefault="007945A3" w:rsidP="00697BB7">
            <w:pPr>
              <w:rPr>
                <w:rFonts w:ascii="Times New Roman" w:eastAsia="ヒラギノ角ゴ Pro W3" w:hAnsi="Times New Roman"/>
                <w:color w:val="000000"/>
              </w:rPr>
            </w:pPr>
            <w:r>
              <w:rPr>
                <w:rFonts w:ascii="Times New Roman" w:eastAsia="ヒラギノ角ゴ Pro W3" w:hAnsi="Times New Roman"/>
                <w:color w:val="000000"/>
              </w:rPr>
              <w:t>10</w:t>
            </w:r>
          </w:p>
        </w:tc>
        <w:tc>
          <w:tcPr>
            <w:tcW w:w="2693" w:type="dxa"/>
            <w:shd w:val="clear" w:color="auto" w:fill="auto"/>
            <w:tcMar>
              <w:top w:w="0" w:type="dxa"/>
              <w:left w:w="0" w:type="dxa"/>
              <w:bottom w:w="0" w:type="dxa"/>
              <w:right w:w="0" w:type="dxa"/>
            </w:tcMar>
          </w:tcPr>
          <w:p w:rsidR="007945A3" w:rsidRDefault="007945A3" w:rsidP="00697BB7">
            <w:pPr>
              <w:rPr>
                <w:rFonts w:ascii="Times New Roman" w:hAnsi="Times New Roman"/>
              </w:rPr>
            </w:pPr>
            <w:r>
              <w:rPr>
                <w:rFonts w:ascii="Times New Roman" w:hAnsi="Times New Roman"/>
              </w:rPr>
              <w:t>Operacja będzie realizowana w miejscowości zamieszkanej przez mniej niż 5 tysięcy mieszkańców:</w:t>
            </w:r>
          </w:p>
          <w:p w:rsidR="007945A3" w:rsidRPr="00A70A1C" w:rsidRDefault="007945A3" w:rsidP="00697BB7">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Pr>
                <w:rFonts w:ascii="Times New Roman" w:eastAsia="ヒラギノ角ゴ Pro W3" w:hAnsi="Times New Roman"/>
              </w:rPr>
              <w:t>max 5</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697BB7">
        <w:trPr>
          <w:trHeight w:val="2129"/>
        </w:trPr>
        <w:tc>
          <w:tcPr>
            <w:tcW w:w="534" w:type="dxa"/>
          </w:tcPr>
          <w:p w:rsidR="007945A3" w:rsidRPr="00A70A1C" w:rsidRDefault="007945A3" w:rsidP="00697BB7">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1</w:t>
            </w:r>
            <w:r>
              <w:rPr>
                <w:rFonts w:ascii="Times New Roman" w:eastAsia="ヒラギノ角ゴ Pro W3" w:hAnsi="Times New Roman"/>
                <w:color w:val="000000"/>
              </w:rPr>
              <w:t>1</w:t>
            </w:r>
            <w:r w:rsidRPr="00A70A1C">
              <w:rPr>
                <w:rFonts w:ascii="Times New Roman" w:eastAsia="ヒラギノ角ゴ Pro W3" w:hAnsi="Times New Roman"/>
                <w:color w:val="000000"/>
              </w:rPr>
              <w:t>.</w:t>
            </w:r>
          </w:p>
        </w:tc>
        <w:tc>
          <w:tcPr>
            <w:tcW w:w="2693" w:type="dxa"/>
            <w:shd w:val="clear" w:color="auto" w:fill="auto"/>
            <w:tcMar>
              <w:top w:w="0" w:type="dxa"/>
              <w:left w:w="0" w:type="dxa"/>
              <w:bottom w:w="0" w:type="dxa"/>
              <w:right w:w="0" w:type="dxa"/>
            </w:tcMar>
          </w:tcPr>
          <w:p w:rsidR="007945A3" w:rsidRPr="00A70A1C" w:rsidRDefault="007945A3" w:rsidP="00697BB7">
            <w:pPr>
              <w:tabs>
                <w:tab w:val="left" w:pos="1875"/>
              </w:tabs>
              <w:rPr>
                <w:rFonts w:ascii="Times New Roman" w:eastAsia="ヒラギノ角ゴ Pro W3" w:hAnsi="Times New Roman"/>
              </w:rPr>
            </w:pPr>
            <w:r w:rsidRPr="00A70A1C">
              <w:rPr>
                <w:rFonts w:ascii="Times New Roman" w:eastAsia="ヒラギノ角ゴ Pro W3" w:hAnsi="Times New Roman"/>
              </w:rPr>
              <w:t>Innowacyjność</w:t>
            </w:r>
          </w:p>
          <w:p w:rsidR="007945A3" w:rsidRPr="00A70A1C" w:rsidRDefault="007945A3" w:rsidP="00697BB7">
            <w:pPr>
              <w:tabs>
                <w:tab w:val="left" w:pos="1875"/>
              </w:tabs>
              <w:rPr>
                <w:rFonts w:ascii="Times New Roman" w:eastAsia="ヒラギノ角ゴ Pro W3" w:hAnsi="Times New Roman"/>
              </w:rPr>
            </w:pPr>
            <w:r w:rsidRPr="00A70A1C">
              <w:rPr>
                <w:rFonts w:ascii="Times New Roman" w:eastAsia="ヒラギノ角ゴ Pro W3" w:hAnsi="Times New Roman"/>
              </w:rPr>
              <w:br/>
            </w:r>
          </w:p>
          <w:p w:rsidR="007945A3" w:rsidRPr="00A70A1C" w:rsidRDefault="007945A3" w:rsidP="00697BB7">
            <w:pPr>
              <w:tabs>
                <w:tab w:val="left" w:pos="1875"/>
              </w:tabs>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rPr>
            </w:pPr>
            <w:r w:rsidRPr="00A70A1C">
              <w:rPr>
                <w:rFonts w:ascii="Times New Roman" w:eastAsia="ヒラギノ角ゴ Pro W3" w:hAnsi="Times New Roman"/>
              </w:rPr>
              <w:t>10</w:t>
            </w:r>
          </w:p>
        </w:tc>
        <w:tc>
          <w:tcPr>
            <w:tcW w:w="11056" w:type="dxa"/>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rPr>
              <w:t xml:space="preserve">Wnioskodawca w ramach operacji zakłada wykorzystanie w nowy, niespotykany dotąd na obszarze objętym LSR sposób lokalnych zasobów historycznych, przyrodniczych, kulturowych, społecznych. 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rsidR="007945A3" w:rsidRPr="00A70A1C" w:rsidRDefault="007945A3" w:rsidP="00697BB7">
            <w:pPr>
              <w:jc w:val="both"/>
              <w:rPr>
                <w:rFonts w:ascii="Times New Roman" w:eastAsia="ヒラギノ角ゴ Pro W3" w:hAnsi="Times New Roman"/>
              </w:rPr>
            </w:pPr>
          </w:p>
          <w:p w:rsidR="007945A3" w:rsidRPr="00A70A1C" w:rsidRDefault="007945A3" w:rsidP="00697BB7">
            <w:pPr>
              <w:jc w:val="both"/>
              <w:rPr>
                <w:rFonts w:ascii="Times New Roman" w:eastAsia="ヒラギノ角ゴ Pro W3" w:hAnsi="Times New Roman"/>
              </w:rPr>
            </w:pPr>
            <w:r w:rsidRPr="00A70A1C">
              <w:rPr>
                <w:rFonts w:ascii="Times New Roman" w:eastAsia="ヒラギノ角ゴ Pro W3" w:hAnsi="Times New Roman"/>
                <w:color w:val="000000"/>
              </w:rPr>
              <w:t xml:space="preserve">W celu zachowania elastyczności kryterium oraz równych szans w dostępie do środków, LGD nie zamyka listy sposobów innowacyjnego wykorzystania lokalnych zasobów i potencjału. Zadaniem Wnioskodawcy jest szczegółowo opisać, w jaki sposób zamierza wykorzystać element innowacyjności oraz uzasadnić w jaki sposób wpłynie to na realizację celów opisywanego projektu. </w:t>
            </w:r>
          </w:p>
        </w:tc>
      </w:tr>
      <w:tr w:rsidR="007945A3" w:rsidRPr="00A70A1C" w:rsidTr="00697BB7">
        <w:trPr>
          <w:trHeight w:val="373"/>
        </w:trPr>
        <w:tc>
          <w:tcPr>
            <w:tcW w:w="3227" w:type="dxa"/>
            <w:gridSpan w:val="2"/>
            <w:tcBorders>
              <w:right w:val="single" w:sz="4" w:space="0" w:color="000000"/>
            </w:tcBorders>
          </w:tcPr>
          <w:p w:rsidR="007945A3" w:rsidRPr="00A70A1C" w:rsidRDefault="007945A3" w:rsidP="00697BB7">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697BB7">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697BB7">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hAnsi="Times New Roman"/>
          <w:color w:val="FF0000"/>
        </w:rPr>
      </w:pPr>
    </w:p>
    <w:p w:rsidR="007945A3" w:rsidRPr="00A70A1C" w:rsidRDefault="007945A3" w:rsidP="007945A3">
      <w:pPr>
        <w:rPr>
          <w:rFonts w:ascii="Times New Roman" w:hAnsi="Times New Roman"/>
          <w:color w:val="FF0000"/>
        </w:rPr>
      </w:pPr>
    </w:p>
    <w:p w:rsidR="002A0243" w:rsidRDefault="002A0243"/>
    <w:sectPr w:rsidR="002A0243" w:rsidSect="008B1711">
      <w:headerReference w:type="default" r:id="rId7"/>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7A" w:rsidRDefault="0035357A" w:rsidP="002A0243">
      <w:pPr>
        <w:spacing w:after="0" w:line="240" w:lineRule="auto"/>
      </w:pPr>
      <w:r>
        <w:separator/>
      </w:r>
    </w:p>
  </w:endnote>
  <w:endnote w:type="continuationSeparator" w:id="1">
    <w:p w:rsidR="0035357A" w:rsidRDefault="0035357A" w:rsidP="002A0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7A" w:rsidRDefault="0035357A" w:rsidP="002A0243">
      <w:pPr>
        <w:spacing w:after="0" w:line="240" w:lineRule="auto"/>
      </w:pPr>
      <w:r>
        <w:separator/>
      </w:r>
    </w:p>
  </w:footnote>
  <w:footnote w:type="continuationSeparator" w:id="1">
    <w:p w:rsidR="0035357A" w:rsidRDefault="0035357A" w:rsidP="002A0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B7" w:rsidRDefault="00697BB7" w:rsidP="002A0243">
    <w:pPr>
      <w:pStyle w:val="Nagwek"/>
      <w:jc w:val="center"/>
    </w:pPr>
    <w:r>
      <w:rPr>
        <w:noProof/>
        <w:lang w:eastAsia="pl-PL"/>
      </w:rPr>
      <w:drawing>
        <wp:inline distT="0" distB="0" distL="0" distR="0">
          <wp:extent cx="2782207" cy="632608"/>
          <wp:effectExtent l="19050" t="0" r="0" b="0"/>
          <wp:docPr id="1" name="Obraz 1" descr="C:\Users\Marta\Desktop\loga 2014-2020 pa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loga 2014-2020 pasek.png"/>
                  <pic:cNvPicPr>
                    <a:picLocks noChangeAspect="1" noChangeArrowheads="1"/>
                  </pic:cNvPicPr>
                </pic:nvPicPr>
                <pic:blipFill>
                  <a:blip r:embed="rId1"/>
                  <a:srcRect/>
                  <a:stretch>
                    <a:fillRect/>
                  </a:stretch>
                </pic:blipFill>
                <pic:spPr bwMode="auto">
                  <a:xfrm>
                    <a:off x="0" y="0"/>
                    <a:ext cx="2782206" cy="632608"/>
                  </a:xfrm>
                  <a:prstGeom prst="rect">
                    <a:avLst/>
                  </a:prstGeom>
                  <a:noFill/>
                  <a:ln w="9525">
                    <a:noFill/>
                    <a:miter lim="800000"/>
                    <a:headEnd/>
                    <a:tailEnd/>
                  </a:ln>
                </pic:spPr>
              </pic:pic>
            </a:graphicData>
          </a:graphic>
        </wp:inline>
      </w:drawing>
    </w:r>
  </w:p>
  <w:p w:rsidR="00697BB7" w:rsidRDefault="00697BB7" w:rsidP="002A0243">
    <w:pPr>
      <w:pStyle w:val="Nagwek"/>
      <w:tabs>
        <w:tab w:val="clear" w:pos="4536"/>
        <w:tab w:val="clear" w:pos="9072"/>
        <w:tab w:val="left" w:pos="54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1711"/>
    <w:rsid w:val="00154312"/>
    <w:rsid w:val="002A0243"/>
    <w:rsid w:val="0033264F"/>
    <w:rsid w:val="0035357A"/>
    <w:rsid w:val="003F2941"/>
    <w:rsid w:val="006563D9"/>
    <w:rsid w:val="00697BB7"/>
    <w:rsid w:val="00736DB9"/>
    <w:rsid w:val="007945A3"/>
    <w:rsid w:val="008B1711"/>
    <w:rsid w:val="00D53E92"/>
    <w:rsid w:val="00D64AE2"/>
    <w:rsid w:val="00F446F3"/>
    <w:rsid w:val="00F64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7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43"/>
    <w:rPr>
      <w:rFonts w:ascii="Calibri" w:eastAsia="Calibri" w:hAnsi="Calibri" w:cs="Times New Roman"/>
    </w:rPr>
  </w:style>
  <w:style w:type="paragraph" w:styleId="Stopka">
    <w:name w:val="footer"/>
    <w:basedOn w:val="Normalny"/>
    <w:link w:val="StopkaZnak"/>
    <w:uiPriority w:val="99"/>
    <w:semiHidden/>
    <w:unhideWhenUsed/>
    <w:rsid w:val="002A024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243"/>
    <w:rPr>
      <w:rFonts w:ascii="Calibri" w:eastAsia="Calibri" w:hAnsi="Calibri" w:cs="Times New Roman"/>
    </w:rPr>
  </w:style>
  <w:style w:type="paragraph" w:styleId="Tekstdymka">
    <w:name w:val="Balloon Text"/>
    <w:basedOn w:val="Normalny"/>
    <w:link w:val="TekstdymkaZnak"/>
    <w:uiPriority w:val="99"/>
    <w:semiHidden/>
    <w:unhideWhenUsed/>
    <w:rsid w:val="002A02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2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35</Pages>
  <Words>8662</Words>
  <Characters>51977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2018-03-20T08:20:00Z</dcterms:created>
  <dcterms:modified xsi:type="dcterms:W3CDTF">2018-05-28T07:48:00Z</dcterms:modified>
</cp:coreProperties>
</file>